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4B9B8" w14:textId="5BC0AAFC" w:rsidR="00D92C80" w:rsidRPr="00FB2B32" w:rsidRDefault="00D92C80" w:rsidP="00D92C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Michał Jarnecki                                                                          Ostrów Wielkopolski 4.03.2021</w:t>
      </w:r>
    </w:p>
    <w:p w14:paraId="164F24E4" w14:textId="2AFC4AE0" w:rsidR="00D92C80" w:rsidRPr="00FB2B32" w:rsidRDefault="00D92C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UAM, dr hab. </w:t>
      </w:r>
    </w:p>
    <w:p w14:paraId="3EEE60FA" w14:textId="77777777" w:rsidR="00D92C80" w:rsidRPr="00FB2B32" w:rsidRDefault="00D92C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A5D474" w14:textId="639DE0FC" w:rsidR="00BD7ACB" w:rsidRPr="00FB2B32" w:rsidRDefault="00A243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B32">
        <w:rPr>
          <w:rFonts w:ascii="Times New Roman" w:hAnsi="Times New Roman" w:cs="Times New Roman"/>
          <w:color w:val="000000" w:themeColor="text1"/>
          <w:sz w:val="28"/>
          <w:szCs w:val="28"/>
        </w:rPr>
        <w:t>Recenzja pracy doktorskiej Konrada Mozgawy</w:t>
      </w:r>
    </w:p>
    <w:p w14:paraId="5E00A519" w14:textId="77777777" w:rsidR="00A243C5" w:rsidRPr="00FB2B32" w:rsidRDefault="00A243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Tytuł i temat: </w:t>
      </w:r>
    </w:p>
    <w:p w14:paraId="339F0100" w14:textId="59CA8B45" w:rsidR="00A243C5" w:rsidRPr="00FB2B32" w:rsidRDefault="00A243C5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B2B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Druga Rzeczypospolita wobec kwestii Rusi Zakarpackiej w latach 1919-1939</w:t>
      </w:r>
    </w:p>
    <w:p w14:paraId="4A4DB214" w14:textId="25C6975C" w:rsidR="00A243C5" w:rsidRPr="00FB2B32" w:rsidRDefault="00A243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A972F2" w14:textId="0185484B" w:rsidR="00360861" w:rsidRPr="00FB2B32" w:rsidRDefault="00562EC6" w:rsidP="00562EC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Praca magistra Konrada Mozgawy jest zgodna w swej treści z autorskim tytułem i przedstawia w niezwykle szerokim tle problem Rusi Zakarpackiej w postrzeganiu jej przez dyplomacj</w:t>
      </w:r>
      <w:r w:rsidR="0007221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służby wywiadowcze międzywojennej Polski. </w:t>
      </w:r>
    </w:p>
    <w:p w14:paraId="71331E90" w14:textId="728198DE" w:rsidR="00D92C80" w:rsidRPr="00FB2B32" w:rsidRDefault="0003614E" w:rsidP="00562EC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Praca doktoranta skład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pięciu rozdziałów. W pierwszym obok zarysu dziejów Rusi do 1918, przedstawił 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proces inkorporacji tego małego kraju do Czechosłowacji, wraz ze stosunkiem Polski i Węgier do tego faktu. W drugim została zaprezentowana</w:t>
      </w:r>
      <w:r w:rsidR="003E32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pozycja Rusi Zakarpackiej w polskiej koncepcji budowy systemu bezpieczeństwa w Europie Środkowo-Wschodniej po I wojnie światowej, wraz ze stosunkami pomiędzy Warszawą a Pragą w owym czasie. 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 nim</w:t>
      </w:r>
      <w:r w:rsidR="003E32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autor przedstawił koncepcję Międzymorza oraz dosyć szeroko akcję prometejską. Z kolei w rozdziale trzecim znajdujemy materiał poświęcony stosunkowi II Rzeczypospolitej wobec Rusi Zakarpackiej w przededniu II wojny światowej, w tym również współpracę polsko-węgierską w 1938 r. .Rozdział czwarty prezentuje polskie działania wywiadowcze i dywersyjne na terenie Rusi, nie tylko w pamiętnym i kluczowym roku 1938 r., ale także działalność polskich służb w latach dwudziestych, łącznie z organizacją polskiego wywiadu</w:t>
      </w:r>
      <w:r w:rsidR="0000612D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tejże części znalazła swoje miejsce i akcja „Łom”. Rozdział ostatni przedstawia polskie placówki konsularne na obszarze Rusi. Dowiadujemy się z niego o historii tych instytucji, składzie osobowym i organizacji pracy 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najpierw </w:t>
      </w:r>
      <w:r w:rsidR="0000612D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wice, a potem już wyższej rangi, klasycznego – formalnego konsulatu.</w:t>
      </w:r>
      <w:r w:rsidR="008B053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Pracę wieńczy zakończenie. Tak wygląda formalna struktura doktoratu.</w:t>
      </w:r>
      <w:r w:rsidR="003E32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C3F0DC" w14:textId="5B56A8E0" w:rsidR="00A243C5" w:rsidRPr="00FB2B32" w:rsidRDefault="00A243C5" w:rsidP="00AA21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32C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Autor dysertacji dokonał zasługującej na szacunek pracy, często monumentalnej kwerendy w archiwach polskich i czeskich.</w:t>
      </w:r>
      <w:r w:rsidR="00AA214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6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na źródłach pierwszego rzędu jest </w:t>
      </w:r>
      <w:r w:rsidR="0089009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przecież </w:t>
      </w:r>
      <w:r w:rsidR="000D36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kwalifikacją wręcz niezbędną dla potencjalnego badacza-naukowca. </w:t>
      </w:r>
      <w:r w:rsidR="00AA214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Nie zaniedbał przeglądu raportów i sprawozdań</w:t>
      </w:r>
      <w:r w:rsidR="005F4D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14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polskich placówek dyplomatycznych</w:t>
      </w:r>
      <w:r w:rsidR="005F4D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 w tym konsularnych, w państwach graniczących z Czechosłowacją, wychwytując rozproszony materiał faktograficzny</w:t>
      </w:r>
      <w:r w:rsidR="0089009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choć niekoniecznie wymienia je wszystkie (kwestia materiału z Węgier, Bukaresztu czy Jass) w bibliografii. Być może korzystał z odpisów znajdujących się w innych zespołach</w:t>
      </w:r>
      <w:r w:rsidR="005F4D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214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6E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Czasami właśnie w mniejszych ośrodkach znajduje się nie do pogardzenia materiał, który pozwala na dokładniejszą i bardziej trafną interpretację. </w:t>
      </w:r>
      <w:r w:rsidR="0089009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Co właściwe, za podstawę uczynił zespoły z Archiwum Akt Nowych dotykające polskiej polityki zagranicznej, placówek dyplomatycznych, attachatów wojskowych, wojskowych instytucji ze Sztabem Głównym na czele,  międzywojennej Polski. Drugim filarem stały się archiwalia zgromadzone w Centralnym Archiwum Wojskowym</w:t>
      </w:r>
      <w:r w:rsidR="0013531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zwłaszcza akta Oddziału II NDWP i SGWP, niezależnie od dwóch innych pomniejszych zespołów. </w:t>
      </w:r>
      <w:r w:rsidR="00D92C8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Konrad</w:t>
      </w:r>
      <w:r w:rsidR="0013531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Mozgawa również dokonał kwerendy w szczecińskim Archiwum Straży Granicznej, penetrując zespoły KOP, Komendy Głównej SG oraz </w:t>
      </w:r>
      <w:r w:rsidR="0013531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Małopolskiego Inspektoratu SG. </w:t>
      </w:r>
      <w:r w:rsidR="0087576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imponującą kwerendę doktorant wykonał w Republice Czeskiej. </w:t>
      </w:r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Przejrzał i trafnie wykorzystał liczne zespoły zgromadzone w Narodowym Archiwum, w Ministerstwie Spraw Zagranicznych, w Archiwum Wojskowym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8D00BD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nstytucie (</w:t>
      </w:r>
      <w:proofErr w:type="spellStart"/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Ustav</w:t>
      </w:r>
      <w:proofErr w:type="spellEnd"/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F1B2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G. </w:t>
      </w:r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Masaryka. </w:t>
      </w:r>
      <w:r w:rsidR="006F1B2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Szczególnie wydajne okazały się zbiory materiałów związanych z polityk</w:t>
      </w:r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6F1B2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zagraniczną Czechosłowacji, resortu obrony Republiki, czechosłowacki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ch służb specjalnych (wywiadu i</w:t>
      </w:r>
      <w:r w:rsidR="006F1B2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F1B2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trwywiadu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1B2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Prezydium Rady Ministrów. </w:t>
      </w:r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Były to przysłowiowe 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strzały w dziesiątkę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. Autor nie zaniechał te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przeglądu licznych źródeł drukowanych</w:t>
      </w:r>
      <w:r w:rsidR="008D00BD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58C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14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Publikacja również dowodzi znajomości nie tak 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wcale </w:t>
      </w:r>
      <w:r w:rsidR="00AA214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małej literatury przedmiotu oraz 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odnoszącej się do</w:t>
      </w:r>
      <w:r w:rsidR="00AA214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szeroko rozumianego międzynarodowego Drugiej RP, jej dyplomacji oraz służ</w:t>
      </w:r>
      <w:r w:rsidR="000D36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A214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wywiadu. </w:t>
      </w:r>
      <w:r w:rsidR="009F2FA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Doktorant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wykazuje się tym sposobem</w:t>
      </w:r>
      <w:r w:rsidR="009F2FA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merytoryczną znajomością  bogatej faktografii. Uniknął również błędów 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rzeczowych</w:t>
      </w:r>
      <w:r w:rsidR="00DF00B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dla aspirującego o stopień doktorski kandydata, stanowi pożądaną cechę. </w:t>
      </w:r>
      <w:r w:rsidR="00AA214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to niezwykle mocne strony tej pracy. </w:t>
      </w:r>
    </w:p>
    <w:p w14:paraId="3BBFA1AE" w14:textId="6F5EB477" w:rsidR="007672FE" w:rsidRPr="00FB2B32" w:rsidRDefault="007672FE" w:rsidP="007672F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uznanie zasługuje również zarys działalności polskich placówek konsularnych na terenie Rusi – mało kto się tym wcześniej zajmował. Autor niezwykle dbały o detale, zasypał nas wieloma informacjami – niekoniecznie równie istotnymi dla sprawy, ale z szacunkiem do Jego wysiłku się odnoszę, nawet jeśli czasem przesadził. Jeśli już  jesteśmy przy tym temacie, w sposób jednoznaczny nie ma </w:t>
      </w:r>
      <w:r w:rsidR="003360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tekście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zapisu</w:t>
      </w:r>
      <w:r w:rsidR="003360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konkluzji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można się domyślić, czy opisywana willa z ogródkiem, której cena wydawa</w:t>
      </w:r>
      <w:r w:rsidR="007A31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się początkowo wygórowana, stała się siedzibą konsulatu w </w:t>
      </w:r>
      <w:proofErr w:type="spellStart"/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Użhorodzie</w:t>
      </w:r>
      <w:proofErr w:type="spellEnd"/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ulicy </w:t>
      </w:r>
      <w:proofErr w:type="spellStart"/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Tołstego</w:t>
      </w:r>
      <w:proofErr w:type="spellEnd"/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7A31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. Tam właśni</w:t>
      </w:r>
      <w:r w:rsidR="003360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e,</w:t>
      </w:r>
      <w:r w:rsidR="007A31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akurat Konrad </w:t>
      </w:r>
      <w:r w:rsidR="008B053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Mozgawa </w:t>
      </w:r>
      <w:r w:rsidR="007A31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zaznaczył pisząc o nowym adresie, znalazła się siedziba polskiej placówki. W czasach radzieckich i w niepodległej Ukrainie mieściła się tam – być może dalej, lokalna przychodnia lekarska – w każdym razie podczas ostatniego mojego pobytu w </w:t>
      </w:r>
      <w:proofErr w:type="spellStart"/>
      <w:r w:rsidR="007A31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Użhorodzie</w:t>
      </w:r>
      <w:proofErr w:type="spellEnd"/>
      <w:r w:rsidR="007A31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7A31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Ungvarze</w:t>
      </w:r>
      <w:proofErr w:type="spellEnd"/>
      <w:r w:rsidR="007A317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sprawa tak wyglądała. </w:t>
      </w:r>
    </w:p>
    <w:p w14:paraId="4F39D662" w14:textId="2D33B0BC" w:rsidR="00FA7084" w:rsidRPr="00FB2B32" w:rsidRDefault="00FA7084" w:rsidP="007672F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Niezwykle rzetelnie autor przedstawia wojskowe aspekty zainteresowania Polski Rusią w latach trzydziestych, zwłaszcza w dobie akcji „Łom”. Wyczuwa się tutaj pasję, zaangażowanie, „lwi pazur” historyka wojskowości</w:t>
      </w:r>
      <w:r w:rsidR="009609F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 który poczuł przysłowiową „krew”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wpływ </w:t>
      </w:r>
      <w:r w:rsidR="009609F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promotora –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mistrza, czyli prof. Piotra Kołakowskiego. </w:t>
      </w:r>
    </w:p>
    <w:p w14:paraId="6240EFF6" w14:textId="62748B0F" w:rsidR="00CC4531" w:rsidRPr="00FB2B32" w:rsidRDefault="00DF00B9" w:rsidP="00AA21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Mam też jednak obok szacunku wobec wysiłków podjętych przez </w:t>
      </w:r>
      <w:r w:rsidR="008B053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doktoranta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Konrada Mozgawę</w:t>
      </w:r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kilka uwag. Pierwsza dotycz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kwestii strukturalnych. Autor 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problem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Rusi Zakarpackiej przedstawił na niezwykle szerokim tle gry politycznej dwudziestolecia międzywojennego. Moim zdaniem – zbyt szerokim !</w:t>
      </w:r>
      <w:r w:rsidR="00EC362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Wydaje się, że zbyt wiele miejsca 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zajmuje prezentacja dziejów polskiej dyplomacji II RP oraz wynikającym z założeń polityki zagranicznej, koncepcjom Międzymorza i akcji prometejskiej. W</w:t>
      </w:r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ystarczyłby 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tutaj </w:t>
      </w:r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zarys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owanie</w:t>
      </w:r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kwestii,.</w:t>
      </w:r>
      <w:r w:rsidR="00EC362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FA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Autor dysertacji</w:t>
      </w:r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jeśli dobrze rozumiem </w:t>
      </w:r>
      <w:r w:rsidR="00EC3621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intencje, traktuje </w:t>
      </w:r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kwestie jako swoistą integralną całość – </w:t>
      </w:r>
      <w:r w:rsidR="003B0DAE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postrzegając </w:t>
      </w:r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koncepcj</w:t>
      </w:r>
      <w:r w:rsidR="003B0DAE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28EC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Intermare</w:t>
      </w:r>
      <w:proofErr w:type="spellEnd"/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akcję prometejską jako swoiste </w:t>
      </w:r>
      <w:proofErr w:type="spellStart"/>
      <w:r w:rsidR="00DE28EC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junctim</w:t>
      </w:r>
      <w:proofErr w:type="spellEnd"/>
      <w:r w:rsidR="003B0DAE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zasadzie słusznie umiejscawiając w nich Ruś Zakarpacką. Godząc się z autorem co do zasady, muszę jednak stwierdzić, że zagęszczenie czasem informacji i </w:t>
      </w:r>
      <w:r w:rsidR="00697F1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prezentacji </w:t>
      </w:r>
      <w:r w:rsidR="003B0DAE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wiedzy autora, przeszkadza</w:t>
      </w:r>
      <w:r w:rsidR="00697F1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momentami</w:t>
      </w:r>
      <w:r w:rsidR="003B0DAE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prowadzeniu </w:t>
      </w:r>
      <w:r w:rsidR="00FC135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czytelnej </w:t>
      </w:r>
      <w:r w:rsidR="003B0DAE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narracji na zasadniczy temat</w:t>
      </w:r>
      <w:r w:rsidR="00697F1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sprzyja zagubieniu wątku</w:t>
      </w:r>
      <w:r w:rsidR="003B0DAE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DE28E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F1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Prawdą niewątpliwą jest, iż potencjalna wspólna granica polsko-węgierska posiadała swojej miejsce w snutych w gabinetach polskich polityków planach Międzymorza, stanowiąc istotne uzupełnienie i wręcz wzmocnienie </w:t>
      </w:r>
      <w:r w:rsidR="0003614E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owej </w:t>
      </w:r>
      <w:r w:rsidR="00697F1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koncepcji. </w:t>
      </w:r>
      <w:r w:rsidR="0066108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Można zastanawiać się bardziej na ile to miało wiele wspólnego z akcją prometejską – jeśli nawet, w niezwykle skromnym wymiarze.</w:t>
      </w:r>
      <w:r w:rsidR="0049403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Czasem też brak konsekwencji. Autor zapisał na s. 75, iż Polska w efekcie względnej normalizacji stosunków z Czechosłowacją, nie wracała czy nie podnosiła postulatu wspólnej granicy z Węgrami.  W warstwie ogólnej jest zgoda, ale przecież – co autor </w:t>
      </w:r>
      <w:r w:rsidR="0049403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pisze w innych partiach swej pracy, kwestia </w:t>
      </w:r>
      <w:r w:rsidR="0003614E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pojawiała się</w:t>
      </w:r>
      <w:r w:rsidR="00F3500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nawet jeśli w zakulisowy sposób</w:t>
      </w:r>
      <w:r w:rsidR="0049403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choć rzeczywiście mocniej w 1938 r. , w dobie kryzysu nadwełtawskiej Republiki w obliczu zagrożenia niemieckiego. Być może za bardzo stanowczo </w:t>
      </w:r>
      <w:r w:rsidR="009F2FA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została </w:t>
      </w:r>
      <w:r w:rsidR="0049403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sformułowana ta opinia.</w:t>
      </w:r>
    </w:p>
    <w:p w14:paraId="4FD499CA" w14:textId="3150B231" w:rsidR="008B053B" w:rsidRPr="00FB2B32" w:rsidRDefault="008B053B" w:rsidP="006048D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Można też 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mie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ć wątpliwości co do sensu przedstawienia w doktoracie dokładnej struktury polskiego wywiadu wojskowego. Nie ma w tym błędu me</w:t>
      </w:r>
      <w:r w:rsidR="00545D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rytorycznego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 ale wydaje się zbędne. Sprawy te zostały już w nauce dobrze opracowane</w:t>
      </w:r>
      <w:r w:rsidR="00545D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gdzie obok osoby promotora, pisał także o tym prof. Antoni </w:t>
      </w:r>
      <w:proofErr w:type="spellStart"/>
      <w:r w:rsidR="00545D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Pepłoński</w:t>
      </w:r>
      <w:proofErr w:type="spellEnd"/>
      <w:r w:rsidR="00545D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Jestem na stanowisku, że właściwym krokiem byłoby odwołanie się przypisem do tych kwestii organizacyjnych i pozwoliłoby bardziej skoncentrować na funkcjonowaniu 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polskich </w:t>
      </w:r>
      <w:r w:rsidR="00545D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służb na samej Rusi.</w:t>
      </w:r>
    </w:p>
    <w:p w14:paraId="71E70E94" w14:textId="7DE862E0" w:rsidR="00CC4531" w:rsidRPr="00FB2B32" w:rsidRDefault="00CC4531" w:rsidP="00AA21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Niezależnie od tych krytycznych uwag muszę podkreślić, że autor prześledził dokładnie miejsce Rusi w polskich planach i bie</w:t>
      </w:r>
      <w:r w:rsidR="00E764E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żą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cej grze politycznej dwudziestolecia, jak również </w:t>
      </w:r>
      <w:r w:rsidR="00E764E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koncepcjach militarnych przełomu lat 1938-1939 i wcześniejszej pracy służb wywiadowczych II RP.</w:t>
      </w:r>
    </w:p>
    <w:p w14:paraId="63D267DF" w14:textId="3961D6DF" w:rsidR="002D0CF7" w:rsidRPr="00FB2B32" w:rsidRDefault="00E764E9" w:rsidP="00FC0BB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też </w:t>
      </w:r>
      <w:r w:rsidR="0082770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zazwyczaj drobne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niedopowiedzenia i usterki, które osłabiają ogóln</w:t>
      </w:r>
      <w:r w:rsidR="000B658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</w:t>
      </w:r>
      <w:r w:rsidR="000B658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wrażenie.</w:t>
      </w:r>
      <w:r w:rsidR="000B658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Kwestie te często nie należą do zasadniczego tematu. I tak autor prezentując w pierwszym rozdziale zarys dziejów Rusi do 1918 r. niepotrzebnie na s. 18 zagmatwał sprawę. W pewnym miejscu jest mowa o losach Węgier na przełomie XIII i XIV w., gdy o koronę św. Stefana po wygaśnięciu dynastii Arpadów stanęli obok Andegawenów czy bawarskich </w:t>
      </w:r>
      <w:proofErr w:type="spellStart"/>
      <w:r w:rsidR="000B658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Wittlesbachów</w:t>
      </w:r>
      <w:proofErr w:type="spellEnd"/>
      <w:r w:rsidR="000B658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czescy </w:t>
      </w:r>
      <w:proofErr w:type="spellStart"/>
      <w:r w:rsidR="000B658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Przemyślidzi</w:t>
      </w:r>
      <w:proofErr w:type="spellEnd"/>
      <w:r w:rsidR="0082770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Prowadzącemu imperialną </w:t>
      </w:r>
      <w:r w:rsidR="003360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politykę </w:t>
      </w:r>
      <w:r w:rsidR="0082770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skali środkowej Europy Wacławowi II nawet na kilka lat się to udało (1301-1305), ale autor zamiast podać jego bardziej rozpoznawalne imię, podaje tylko węgierskie, które przyjął po objęciu na krótko tronu – Laszlo V (w polskiej wersji Władysław V). Nic by się nie stało, aby podać oba imiona i rzecz byłaby </w:t>
      </w:r>
      <w:r w:rsidR="003360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bardziej </w:t>
      </w:r>
      <w:r w:rsidR="0082770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klarowna.</w:t>
      </w:r>
      <w:r w:rsidR="000B658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70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Także w przypadku wzmianki o bawarskim następcy – Beli V</w:t>
      </w:r>
      <w:r w:rsidR="008F6F2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(Adalbercie w polskiej wersji)</w:t>
      </w:r>
      <w:r w:rsidR="0082770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 też przydałaby się informacja, ze chodzi o księcia Ottona III</w:t>
      </w:r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Wittelsbacha</w:t>
      </w:r>
      <w:proofErr w:type="spellEnd"/>
      <w:r w:rsidR="0082770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Austrii.</w:t>
      </w:r>
      <w:r w:rsidR="008F6F2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kolei zaliczenie </w:t>
      </w:r>
      <w:r w:rsidR="008F6F27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 hoc</w:t>
      </w:r>
      <w:r w:rsidR="008F6F2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F2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Łemkowszczny</w:t>
      </w:r>
      <w:proofErr w:type="spellEnd"/>
      <w:r w:rsidR="008F6F2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(autor używa terminu </w:t>
      </w:r>
      <w:proofErr w:type="spellStart"/>
      <w:r w:rsidR="008F6F2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Łemkowyna</w:t>
      </w:r>
      <w:proofErr w:type="spellEnd"/>
      <w:r w:rsidR="008F6F2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</w:t>
      </w:r>
      <w:r w:rsidR="00DF418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obszarów Rusi Karpackiej, bez zdania, czy nawet dwóch, że to rzecz dyskusyjna</w:t>
      </w:r>
      <w:r w:rsidR="00DC11B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oznacza bez zająknięcia przyjęcie tez </w:t>
      </w:r>
      <w:proofErr w:type="spellStart"/>
      <w:r w:rsidR="003360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C11B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usińskich</w:t>
      </w:r>
      <w:proofErr w:type="spellEnd"/>
      <w:r w:rsidR="00DC11B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badaczy i działaczy narodowych jak zacytowani prof. Paul Best czy Paul Robert </w:t>
      </w:r>
      <w:proofErr w:type="spellStart"/>
      <w:r w:rsidR="00DC11B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Magocsi</w:t>
      </w:r>
      <w:proofErr w:type="spellEnd"/>
      <w:r w:rsidR="00DC11B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Nie brakuje </w:t>
      </w:r>
      <w:r w:rsidR="002B195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również</w:t>
      </w:r>
      <w:r w:rsidR="00DC11B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polskiej literatury na ten temat</w:t>
      </w:r>
      <w:r w:rsidR="00B251E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(Ewa </w:t>
      </w:r>
      <w:proofErr w:type="spellStart"/>
      <w:r w:rsidR="00B251E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Michna</w:t>
      </w:r>
      <w:proofErr w:type="spellEnd"/>
      <w:r w:rsidR="00B251E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Małgorzata Misiak, Jan Jacek Bruski). Na s. 28 pojawiła się wadliwa nazwa miasta </w:t>
      </w:r>
      <w:proofErr w:type="spellStart"/>
      <w:r w:rsidR="00B251E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Mukaczewo</w:t>
      </w:r>
      <w:proofErr w:type="spellEnd"/>
      <w:r w:rsidR="00B251E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jako </w:t>
      </w:r>
      <w:proofErr w:type="spellStart"/>
      <w:r w:rsidR="00B251E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Mukaczew</w:t>
      </w:r>
      <w:proofErr w:type="spellEnd"/>
      <w:r w:rsidR="00B251E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02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 również przywołuje </w:t>
      </w:r>
      <w:r w:rsidR="005D2B0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na s. 30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</w:t>
      </w:r>
      <w:r w:rsidR="005D2B0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2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cytat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002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publikacji </w:t>
      </w:r>
      <w:r w:rsidR="00363F7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– podając rok 1902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(właściwie !)</w:t>
      </w:r>
      <w:r w:rsidR="00363F7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pewną myśl </w:t>
      </w:r>
      <w:r w:rsidR="001002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późniejszego prezydenta </w:t>
      </w:r>
      <w:proofErr w:type="spellStart"/>
      <w:r w:rsidR="001002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Woodrow</w:t>
      </w:r>
      <w:proofErr w:type="spellEnd"/>
      <w:r w:rsidR="0010021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FB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Wilsona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Chciał tym samym – ja tak to rozumiem i w sumie pochwalam, </w:t>
      </w:r>
      <w:r w:rsidR="00363F7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zapewne pokazać 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i uwypuklić</w:t>
      </w:r>
      <w:r w:rsidR="00363F7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amerykański polityk </w:t>
      </w:r>
      <w:r w:rsidR="00363F7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uchodzący w legendzie i potocznej wiedzy za przyjaciela </w:t>
      </w:r>
      <w:r w:rsidR="005D2B0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narodów Europy Wschodniej – w tym i Polaków</w:t>
      </w:r>
      <w:r w:rsidR="00363F7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 miewał inne, bardziej bolesne i niemił</w:t>
      </w:r>
      <w:r w:rsidR="005D2B0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e, okraszone co najmniej lekceważeniem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jeśli nie elementem zawoalowanej pogardy, opinie </w:t>
      </w:r>
      <w:r w:rsidR="003360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63F7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</w:t>
      </w:r>
      <w:r w:rsidR="003360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całym </w:t>
      </w:r>
      <w:r w:rsidR="0033606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regionie</w:t>
      </w:r>
      <w:r w:rsidR="00363F7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195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Szkoda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tylko</w:t>
      </w:r>
      <w:r w:rsidR="002B195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 że n</w:t>
      </w:r>
      <w:r w:rsidR="005D2B0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został podany tytuł książki – </w:t>
      </w:r>
      <w:proofErr w:type="spellStart"/>
      <w:r w:rsidR="0044199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History</w:t>
      </w:r>
      <w:proofErr w:type="spellEnd"/>
      <w:r w:rsidR="0044199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the American People. In five </w:t>
      </w:r>
      <w:proofErr w:type="spellStart"/>
      <w:r w:rsidR="0044199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volumes</w:t>
      </w:r>
      <w:proofErr w:type="spellEnd"/>
      <w:r w:rsidR="0044199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  tom najprawdopodobniej 4 lub 5</w:t>
      </w:r>
      <w:r w:rsidR="005D2B0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(ukazały się w Nowym Jorku </w:t>
      </w:r>
      <w:r w:rsidR="0044199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1902</w:t>
      </w:r>
      <w:r w:rsidR="005D2B0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2D0CF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s. 73 znajdujemy 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kolei </w:t>
      </w:r>
      <w:r w:rsidR="002D0CF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niedopowiedzenie pewnej myśli. Otóż autor pisze – mając stuprocentową rację, iż Rzeczypospolita w odwecie za wsparcie przez Czechosłowację ukraińskiej irredenty, odpowiedziała tym samym</w:t>
      </w:r>
      <w:r w:rsidR="005C37C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 nie wymieniając</w:t>
      </w:r>
      <w:r w:rsidR="00E23C0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 imiennie</w:t>
      </w:r>
      <w:r w:rsidR="005C37C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separatyzmu słowackiego. Konrad 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Mozgawa </w:t>
      </w:r>
      <w:r w:rsidR="005C37C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wiedział zapewne o tym doskonale, ale może wydawało mu się to </w:t>
      </w:r>
      <w:r w:rsidR="0030223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tyle </w:t>
      </w:r>
      <w:r w:rsidR="005C37C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oczywiste, </w:t>
      </w:r>
      <w:r w:rsidR="0030223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stąd w tekście tego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</w:t>
      </w:r>
      <w:r w:rsidR="0030223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7C3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sprecyzowa</w:t>
      </w:r>
      <w:r w:rsidR="0030223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6048D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opuścił</w:t>
      </w:r>
      <w:r w:rsidR="00B550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850C1E" w14:textId="487AF558" w:rsidR="00D8173B" w:rsidRPr="00FB2B32" w:rsidRDefault="004C0033" w:rsidP="00FC0BB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Jak wspomniałem atutami pracy stały się imponująca jak na doktorat kwerenda archiwalna</w:t>
      </w:r>
      <w:r w:rsidR="0044199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oraz bibliografia. Chyba jednak zabrakło czasu na dokładniejszą korektę. Dow</w:t>
      </w:r>
      <w:r w:rsidR="002D0CF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ód </w:t>
      </w:r>
      <w:r w:rsidR="002D0CF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stanowi przypis 23, gdzie Konrad </w:t>
      </w:r>
      <w:r w:rsidR="00D92C8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Mozgawa </w:t>
      </w:r>
      <w:r w:rsidR="002D0CF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przypisuje zięciowi Mussoliniego, czyli </w:t>
      </w:r>
      <w:r w:rsidR="0007221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Galeazzo</w:t>
      </w:r>
      <w:r w:rsidR="002D0CF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Ciano – szefowi włoskiej dyplomacji pracę Odrodzenie Polski, zamiast pamiętników. </w:t>
      </w:r>
      <w:r w:rsidR="0007221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 tutaj powtórzył literalnie pracę poprzednim przypisie – Francesca </w:t>
      </w:r>
      <w:proofErr w:type="spellStart"/>
      <w:r w:rsidR="0007221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Tomasiniego</w:t>
      </w:r>
      <w:proofErr w:type="spellEnd"/>
      <w:r w:rsidR="0007221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0CF7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 bibliografii jest szczęśliwie poprawnie.</w:t>
      </w:r>
      <w:r w:rsidR="00B550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Podejrzewam, że niecelowa była też drobna w sumie usterka – zapewne cytowanie z pamięci – w </w:t>
      </w:r>
      <w:r w:rsidR="00CE28C8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lekko przestawionym</w:t>
      </w:r>
      <w:r w:rsidR="00B550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tytule pracy Jana Kucharzewskiego – jest </w:t>
      </w:r>
      <w:r w:rsidR="00B5508F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Od caratu białego do czerwonego</w:t>
      </w:r>
      <w:r w:rsidR="00B550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zamiast </w:t>
      </w:r>
      <w:r w:rsidR="00B5508F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Od białego caratu do czerwonego</w:t>
      </w:r>
      <w:r w:rsidR="00B550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28C8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rzędu usterek można tez zaliczyć sformułowanie ze s. 224: „zwiększony import towarów z Rusi Zakarpackiej do Polski mógł przyczynić się do poprawy nastrojów…” – gdzie raczej chodziłoby o eksport.</w:t>
      </w:r>
      <w:r w:rsidR="00FA708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tej grupie mieści się również błędna data</w:t>
      </w:r>
      <w:r w:rsidR="00FA7084" w:rsidRPr="00FB2B32">
        <w:rPr>
          <w:color w:val="000000" w:themeColor="text1"/>
        </w:rPr>
        <w:t xml:space="preserve"> </w:t>
      </w:r>
      <w:r w:rsidR="00FA708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porozumienia węgiersko-słowackiego, kończącego tzw. „małą wojnę” (</w:t>
      </w:r>
      <w:proofErr w:type="spellStart"/>
      <w:r w:rsidR="00FA708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Mal</w:t>
      </w:r>
      <w:bookmarkStart w:id="0" w:name="_Hlk65276762"/>
      <w:r w:rsidR="00FA708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á</w:t>
      </w:r>
      <w:bookmarkEnd w:id="0"/>
      <w:proofErr w:type="spellEnd"/>
      <w:r w:rsidR="00FA708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A708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vojna</w:t>
      </w:r>
      <w:proofErr w:type="spellEnd"/>
      <w:r w:rsidR="00FA708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słow.</w:t>
      </w:r>
      <w:r w:rsidR="00A204E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708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708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Malá</w:t>
      </w:r>
      <w:proofErr w:type="spellEnd"/>
      <w:r w:rsidR="00FA708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A7084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valka</w:t>
      </w:r>
      <w:proofErr w:type="spellEnd"/>
      <w:r w:rsidR="00FA708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cz.), co nastąpiło 4 kwietnia 1939 r., nie zaś 4 września</w:t>
      </w:r>
      <w:r w:rsidR="00D1491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, jak mamy w tekście – s. 218</w:t>
      </w:r>
      <w:r w:rsidR="00FA708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9B6AA7" w14:textId="19C1FFB6" w:rsidR="00D1491C" w:rsidRPr="00FB2B32" w:rsidRDefault="00D1491C" w:rsidP="00FC0BB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Kwestią bardziej niejednoznaczną, niż sugeruje tekst (s. 222 i d.), byłby stosunek lokalnej społeczności wobec wkraczających jednostek honwedów. </w:t>
      </w:r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Źródłem jest tam m.in. film dokumentalny, swego czasu głośny w niepodległej Ukrainie – </w:t>
      </w:r>
      <w:r w:rsidR="006F1EA0" w:rsidRPr="00FB2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Srebrna ziemia</w:t>
      </w:r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</w:t>
      </w:r>
      <w:proofErr w:type="spellStart"/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1191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usińskiej</w:t>
      </w:r>
      <w:proofErr w:type="spellEnd"/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zakarpackiej </w:t>
      </w:r>
      <w:r w:rsidR="0051191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społeczności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wyczerpanej biedą, stanem tymczasowości, chaotycznymi czasem działaniami władz autonomii, rzeczywiście widzia</w:t>
      </w:r>
      <w:r w:rsidR="0051191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ła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Madziarach symbol pewnego porządku i stabilizacji, ale niemała te</w:t>
      </w:r>
      <w:r w:rsidR="0051191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grupa </w:t>
      </w:r>
      <w:r w:rsidR="0051191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podjęła walkę czy jej sprzyjała. Dowod</w:t>
      </w:r>
      <w:r w:rsidR="00C64629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ami były:</w:t>
      </w:r>
      <w:r w:rsidR="0051191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opór, st</w:t>
      </w:r>
      <w:r w:rsidR="0046237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raty</w:t>
      </w:r>
      <w:r w:rsidR="00511914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obu stron i późniejsze represje. Sformułowanie takie stanowi potencjalnie niebezpieczny skrót myślowy.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Inna rzecz, że rekonstrukcja i analizowanie postaw, a zwłaszcza poglądów po wielu latach, nie należy do łatwych kiedy doszło w międzyczasie do kolejnych burz dziejowych, zawiedzionych nadziei oraz rozczarowań i zmieniła się optyka widzenia.</w:t>
      </w:r>
    </w:p>
    <w:p w14:paraId="159B5113" w14:textId="309E933D" w:rsidR="0049403B" w:rsidRPr="00FB2B32" w:rsidRDefault="00302239" w:rsidP="003022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Są też usterki stylistyczne</w:t>
      </w:r>
      <w:r w:rsidR="00B550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fleksyjne</w:t>
      </w:r>
      <w:r w:rsidR="00B550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21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(s. 70, 141, 152, 156, 160, 166, 182, 191, 219) </w:t>
      </w:r>
      <w:r w:rsidR="00B5508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w nazewnictwie </w:t>
      </w:r>
      <w:r w:rsidR="0007221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(np. </w:t>
      </w:r>
      <w:proofErr w:type="spellStart"/>
      <w:r w:rsidR="0007221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turkeministańska</w:t>
      </w:r>
      <w:proofErr w:type="spellEnd"/>
      <w:r w:rsidR="0007221B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 nie lepiej – turkmeńska ?) – s. 168</w:t>
      </w:r>
      <w:r w:rsidR="00D1491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s. 283 (</w:t>
      </w:r>
      <w:proofErr w:type="spellStart"/>
      <w:r w:rsidR="00D1491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Volove</w:t>
      </w:r>
      <w:proofErr w:type="spellEnd"/>
      <w:r w:rsidR="00D1491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zamiast Wołowe</w:t>
      </w:r>
      <w:r w:rsidR="006F1EA0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91C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- dopuszczalne spolszczenie!)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36D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bądź zbędne eufemizmy w postaci „niezbyt poprawne relacje polsko-litewskie” (s. 176), 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ale ich kaliber posiada słabszy charakter.</w:t>
      </w:r>
      <w:r w:rsidR="00E536DF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to uchybienia, które nie wpływają na treść dysertacji, ale warto na przyszłość dokonywać starannej korekty.</w:t>
      </w: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288D4B" w14:textId="63011E21" w:rsidR="00FA7084" w:rsidRPr="00FB2B32" w:rsidRDefault="00FA7084" w:rsidP="003022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Niezależnie od wysuniętych uwag, uważam, że dysertacja doktorska Konrada Mozgawy zasługuje na ocenę pozytywną i jej autor stanowi dobry materiał na badacza.</w:t>
      </w:r>
      <w:r w:rsidR="009609F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przecież często występującą cechą młodych i początkujących naukowców, tendencj</w:t>
      </w:r>
      <w:r w:rsidR="00A204E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9609F5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powiedzieć jak najwięcej, niemal wszystko i „wykrzyczeć” to światu. Szczęśliwie, że mają oni wiele do powiedzenia i stopniowo, krok po kroku nabierają badawczego doświadczenia</w:t>
      </w:r>
      <w:r w:rsidR="00420856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wykształcając w sobie umiejętności nie tylko krytycznego myślenia – z tym </w:t>
      </w:r>
      <w:r w:rsidR="00FB2B32">
        <w:rPr>
          <w:rFonts w:ascii="Times New Roman" w:hAnsi="Times New Roman" w:cs="Times New Roman"/>
          <w:color w:val="000000" w:themeColor="text1"/>
          <w:sz w:val="24"/>
          <w:szCs w:val="24"/>
        </w:rPr>
        <w:t>dotychczasowy magister</w:t>
      </w:r>
      <w:r w:rsidR="00420856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 problemu, ale też koniecznej syntezy i zwięzłości. Zapewne stanie się to udziałem także i </w:t>
      </w:r>
      <w:r w:rsidR="00A204EA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przyszłego doktora </w:t>
      </w:r>
      <w:r w:rsidR="00420856"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Konrada Mozgawy.</w:t>
      </w:r>
    </w:p>
    <w:p w14:paraId="4A00E46B" w14:textId="1F47AE9F" w:rsidR="0003614E" w:rsidRPr="00FB2B32" w:rsidRDefault="0003614E" w:rsidP="003022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2C3C2" w14:textId="2FE63F5E" w:rsidR="0003614E" w:rsidRPr="00FB2B32" w:rsidRDefault="0003614E" w:rsidP="003022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32">
        <w:rPr>
          <w:rFonts w:ascii="Times New Roman" w:hAnsi="Times New Roman" w:cs="Times New Roman"/>
          <w:color w:val="000000" w:themeColor="text1"/>
          <w:sz w:val="24"/>
          <w:szCs w:val="24"/>
        </w:rPr>
        <w:t>Michał Jarnecki, prof. UAM, dr hab.</w:t>
      </w:r>
    </w:p>
    <w:p w14:paraId="2F19B850" w14:textId="7329955B" w:rsidR="00C76BBC" w:rsidRPr="00FB2B32" w:rsidRDefault="00C76BBC" w:rsidP="00C76B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6BBC" w:rsidRPr="00FB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4911" w14:textId="77777777" w:rsidR="00E53076" w:rsidRDefault="00E53076" w:rsidP="00FA7084">
      <w:pPr>
        <w:spacing w:after="0" w:line="240" w:lineRule="auto"/>
      </w:pPr>
      <w:r>
        <w:separator/>
      </w:r>
    </w:p>
  </w:endnote>
  <w:endnote w:type="continuationSeparator" w:id="0">
    <w:p w14:paraId="3708D68B" w14:textId="77777777" w:rsidR="00E53076" w:rsidRDefault="00E53076" w:rsidP="00FA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3024" w14:textId="77777777" w:rsidR="00E53076" w:rsidRDefault="00E53076" w:rsidP="00FA7084">
      <w:pPr>
        <w:spacing w:after="0" w:line="240" w:lineRule="auto"/>
      </w:pPr>
      <w:r>
        <w:separator/>
      </w:r>
    </w:p>
  </w:footnote>
  <w:footnote w:type="continuationSeparator" w:id="0">
    <w:p w14:paraId="1439B96A" w14:textId="77777777" w:rsidR="00E53076" w:rsidRDefault="00E53076" w:rsidP="00FA7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C5"/>
    <w:rsid w:val="0000612D"/>
    <w:rsid w:val="00007534"/>
    <w:rsid w:val="0003614E"/>
    <w:rsid w:val="000653DB"/>
    <w:rsid w:val="0007221B"/>
    <w:rsid w:val="000B6583"/>
    <w:rsid w:val="000D366B"/>
    <w:rsid w:val="00100210"/>
    <w:rsid w:val="0013531C"/>
    <w:rsid w:val="0018586D"/>
    <w:rsid w:val="001B335F"/>
    <w:rsid w:val="00285BF9"/>
    <w:rsid w:val="002B1954"/>
    <w:rsid w:val="002D0CF7"/>
    <w:rsid w:val="00302239"/>
    <w:rsid w:val="0033606B"/>
    <w:rsid w:val="00350FB5"/>
    <w:rsid w:val="00360861"/>
    <w:rsid w:val="00363F79"/>
    <w:rsid w:val="003B0DAE"/>
    <w:rsid w:val="003B2D9C"/>
    <w:rsid w:val="003E328F"/>
    <w:rsid w:val="00420856"/>
    <w:rsid w:val="00441994"/>
    <w:rsid w:val="00462375"/>
    <w:rsid w:val="0049403B"/>
    <w:rsid w:val="004A32CC"/>
    <w:rsid w:val="004C0033"/>
    <w:rsid w:val="004F407C"/>
    <w:rsid w:val="00511914"/>
    <w:rsid w:val="00513803"/>
    <w:rsid w:val="00545D10"/>
    <w:rsid w:val="0055645A"/>
    <w:rsid w:val="00562EC6"/>
    <w:rsid w:val="005C37C3"/>
    <w:rsid w:val="005D2B03"/>
    <w:rsid w:val="005E7106"/>
    <w:rsid w:val="005F4D7A"/>
    <w:rsid w:val="006048D0"/>
    <w:rsid w:val="00615DED"/>
    <w:rsid w:val="00624314"/>
    <w:rsid w:val="00661089"/>
    <w:rsid w:val="00697F17"/>
    <w:rsid w:val="006F1B21"/>
    <w:rsid w:val="006F1EA0"/>
    <w:rsid w:val="00720A47"/>
    <w:rsid w:val="007672FE"/>
    <w:rsid w:val="007A317A"/>
    <w:rsid w:val="00827707"/>
    <w:rsid w:val="00875769"/>
    <w:rsid w:val="0089009F"/>
    <w:rsid w:val="008B053B"/>
    <w:rsid w:val="008D00BD"/>
    <w:rsid w:val="008F6F27"/>
    <w:rsid w:val="009609F5"/>
    <w:rsid w:val="009E6868"/>
    <w:rsid w:val="009F2FA7"/>
    <w:rsid w:val="00A204EA"/>
    <w:rsid w:val="00A243C5"/>
    <w:rsid w:val="00A376E1"/>
    <w:rsid w:val="00AA2145"/>
    <w:rsid w:val="00B251E9"/>
    <w:rsid w:val="00B5508F"/>
    <w:rsid w:val="00BC79E7"/>
    <w:rsid w:val="00BD7ACB"/>
    <w:rsid w:val="00C35DFF"/>
    <w:rsid w:val="00C458C7"/>
    <w:rsid w:val="00C64629"/>
    <w:rsid w:val="00C76BBC"/>
    <w:rsid w:val="00CA3030"/>
    <w:rsid w:val="00CC4531"/>
    <w:rsid w:val="00CE28C8"/>
    <w:rsid w:val="00D1491C"/>
    <w:rsid w:val="00D53B13"/>
    <w:rsid w:val="00D8173B"/>
    <w:rsid w:val="00D92C80"/>
    <w:rsid w:val="00DC11BA"/>
    <w:rsid w:val="00DE28EC"/>
    <w:rsid w:val="00DF00B9"/>
    <w:rsid w:val="00DF059C"/>
    <w:rsid w:val="00DF418C"/>
    <w:rsid w:val="00E23C03"/>
    <w:rsid w:val="00E53076"/>
    <w:rsid w:val="00E536DF"/>
    <w:rsid w:val="00E764E9"/>
    <w:rsid w:val="00EC3621"/>
    <w:rsid w:val="00F01BD7"/>
    <w:rsid w:val="00F224B0"/>
    <w:rsid w:val="00F3500A"/>
    <w:rsid w:val="00F90E09"/>
    <w:rsid w:val="00F91F69"/>
    <w:rsid w:val="00FA7084"/>
    <w:rsid w:val="00FB2B32"/>
    <w:rsid w:val="00FC0BB2"/>
    <w:rsid w:val="00F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2067"/>
  <w15:chartTrackingRefBased/>
  <w15:docId w15:val="{D68021B9-FBBF-4063-8D47-36F088B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A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A4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0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4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Jarnecki</dc:creator>
  <cp:keywords/>
  <dc:description/>
  <cp:lastModifiedBy>Michał Jarnecki</cp:lastModifiedBy>
  <cp:revision>81</cp:revision>
  <cp:lastPrinted>2021-03-04T14:49:00Z</cp:lastPrinted>
  <dcterms:created xsi:type="dcterms:W3CDTF">2021-02-25T14:52:00Z</dcterms:created>
  <dcterms:modified xsi:type="dcterms:W3CDTF">2021-03-05T08:20:00Z</dcterms:modified>
</cp:coreProperties>
</file>